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5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1312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浙江富浙资本管理有限公司</w:t>
      </w:r>
    </w:p>
    <w:p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r>
              <w:rPr>
                <w:rFonts w:hint="eastAsia" w:cs="宋体"/>
                <w:color w:val="000000"/>
                <w:lang w:val="en-US" w:eastAsia="zh-CN"/>
              </w:rPr>
              <w:t>前程无忧</w:t>
            </w:r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p>
      <w:pPr>
        <w:ind w:firstLine="5760" w:firstLineChars="2400"/>
        <w:rPr>
          <w:rFonts w:ascii="仿宋_GB2312" w:eastAsia="仿宋_GB2312" w:cs="Times New Roman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b/>
      </w:rPr>
    </w:pPr>
    <w:bookmarkStart w:id="0" w:name="_GoBack"/>
    <w:r>
      <w:rPr>
        <w:rFonts w:hint="eastAsi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2969260</wp:posOffset>
          </wp:positionH>
          <wp:positionV relativeFrom="margin">
            <wp:posOffset>-563880</wp:posOffset>
          </wp:positionV>
          <wp:extent cx="2368550" cy="406400"/>
          <wp:effectExtent l="0" t="0" r="0" b="0"/>
          <wp:wrapSquare wrapText="bothSides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4" r="7569"/>
                  <a:stretch>
                    <a:fillRect/>
                  </a:stretch>
                </pic:blipFill>
                <pic:spPr>
                  <a:xfrm>
                    <a:off x="0" y="0"/>
                    <a:ext cx="23685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ind w:firstLine="6480" w:firstLineChars="3600"/>
    </w:pPr>
  </w:p>
  <w:p>
    <w:pPr>
      <w:pStyle w:val="6"/>
      <w:ind w:firstLine="4140" w:firstLineChars="2300"/>
    </w:pPr>
    <w:r>
      <w:rPr>
        <w:rFonts w:hint="eastAsia"/>
      </w:rPr>
      <w:t>地址：杭州市西湖区西溪路527号浙商创投中心B座8楼</w: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1312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0944D85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马卓琳</cp:lastModifiedBy>
  <cp:lastPrinted>2021-09-30T07:03:00Z</cp:lastPrinted>
  <dcterms:modified xsi:type="dcterms:W3CDTF">2023-11-01T00:55:12Z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0471669D8CBA4D0FB3CCBADD58942873</vt:lpwstr>
  </property>
</Properties>
</file>